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AE" w:rsidRPr="00CB4C7D" w:rsidRDefault="004B06AE" w:rsidP="004613DA">
      <w:pPr>
        <w:spacing w:after="0" w:line="240" w:lineRule="auto"/>
        <w:ind w:right="-56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B4C7D">
        <w:rPr>
          <w:rFonts w:ascii="Times New Roman" w:eastAsia="Times New Roman" w:hAnsi="Times New Roman" w:cs="Times New Roman"/>
          <w:b/>
          <w:sz w:val="24"/>
          <w:szCs w:val="24"/>
        </w:rPr>
        <w:t>Представен</w:t>
      </w:r>
      <w:r w:rsidR="004613DA" w:rsidRPr="00CB4C7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B4C7D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4613DA" w:rsidRPr="00CB4C7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Министерство на </w:t>
      </w:r>
      <w:r w:rsidR="00EC2339" w:rsidRPr="00CB4C7D">
        <w:rPr>
          <w:rFonts w:ascii="Times New Roman" w:eastAsia="Times New Roman" w:hAnsi="Times New Roman" w:cs="Times New Roman"/>
          <w:b/>
          <w:sz w:val="24"/>
          <w:szCs w:val="24"/>
        </w:rPr>
        <w:t>енергетиката</w:t>
      </w:r>
      <w:r w:rsidR="004613DA" w:rsidRPr="00CB4C7D">
        <w:rPr>
          <w:rFonts w:ascii="Times New Roman" w:eastAsia="Times New Roman" w:hAnsi="Times New Roman" w:cs="Times New Roman"/>
          <w:b/>
          <w:sz w:val="24"/>
          <w:szCs w:val="24"/>
        </w:rPr>
        <w:t xml:space="preserve"> уведомление за </w:t>
      </w:r>
      <w:r w:rsidR="00EC2339" w:rsidRPr="00CB4C7D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Стратегия за устойчиво енергийно развитие на Република България до 2030 г. с хоризонт до 2050 г. и проект на Интегриран национален план в областта на енергетиката и климата (ИНПЕК) на Република България до 2030</w:t>
      </w:r>
      <w:r w:rsidR="00EC2339" w:rsidRPr="00CB4C7D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г.</w:t>
      </w:r>
    </w:p>
    <w:bookmarkEnd w:id="0"/>
    <w:p w:rsidR="004B06AE" w:rsidRPr="004B06AE" w:rsidRDefault="004B06AE" w:rsidP="004B06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06AE" w:rsidRPr="004B06AE" w:rsidRDefault="004B06AE" w:rsidP="004B06AE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B06AE">
        <w:rPr>
          <w:rFonts w:ascii="Times New Roman" w:eastAsia="Times New Roman" w:hAnsi="Times New Roman" w:cs="Times New Roman"/>
          <w:sz w:val="24"/>
          <w:szCs w:val="24"/>
        </w:rPr>
        <w:t>В изпълнение на чл.8, ал.4 от Наредбата за условията и реда за извършване на екологична оценка</w:t>
      </w:r>
      <w:r w:rsidR="00912C63">
        <w:rPr>
          <w:rFonts w:ascii="Times New Roman" w:eastAsia="Times New Roman" w:hAnsi="Times New Roman" w:cs="Times New Roman"/>
          <w:sz w:val="24"/>
          <w:szCs w:val="24"/>
        </w:rPr>
        <w:t xml:space="preserve"> (Наредба за ЕО)</w:t>
      </w:r>
      <w:r w:rsidRPr="004B06AE">
        <w:rPr>
          <w:rFonts w:ascii="Times New Roman" w:eastAsia="Times New Roman" w:hAnsi="Times New Roman" w:cs="Times New Roman"/>
          <w:sz w:val="24"/>
          <w:szCs w:val="24"/>
        </w:rPr>
        <w:t>, във връзка с постъпил</w:t>
      </w:r>
      <w:r w:rsidR="004613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06AE">
        <w:rPr>
          <w:rFonts w:ascii="Times New Roman" w:eastAsia="Times New Roman" w:hAnsi="Times New Roman" w:cs="Times New Roman"/>
          <w:sz w:val="24"/>
          <w:szCs w:val="24"/>
        </w:rPr>
        <w:t xml:space="preserve"> в Министерство на околната среда и водите (МОСВ) </w:t>
      </w:r>
      <w:r w:rsidR="004613DA" w:rsidRPr="004613DA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="00912C63">
        <w:rPr>
          <w:rFonts w:ascii="Times New Roman" w:eastAsia="Times New Roman" w:hAnsi="Times New Roman" w:cs="Times New Roman"/>
          <w:sz w:val="24"/>
          <w:szCs w:val="24"/>
        </w:rPr>
        <w:t xml:space="preserve">по чл.8 от Наредбата за ЕО </w:t>
      </w:r>
      <w:r w:rsidR="004613DA" w:rsidRPr="00EC233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C2339" w:rsidRPr="00EC2339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Стратегия за устойчиво енергийно развитие на Република България до 2030 г. с хоризонт до 2050 г. и проект на Интегриран национален план в областта на енергетиката и климата (ИНПЕК) на Република България до 2030</w:t>
      </w:r>
      <w:r w:rsidR="00EC2339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г.</w:t>
      </w:r>
      <w:r w:rsidRPr="004B06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06AE">
        <w:rPr>
          <w:rFonts w:ascii="Times New Roman" w:eastAsia="Times New Roman" w:hAnsi="Times New Roman" w:cs="Times New Roman"/>
          <w:sz w:val="24"/>
          <w:szCs w:val="24"/>
        </w:rPr>
        <w:t xml:space="preserve"> МОСВ информира за следното:</w:t>
      </w:r>
    </w:p>
    <w:p w:rsidR="00B23C91" w:rsidRPr="00FA2312" w:rsidRDefault="00B23C91" w:rsidP="00302E13">
      <w:pPr>
        <w:spacing w:before="120" w:after="0" w:line="240" w:lineRule="auto"/>
        <w:ind w:right="-56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FA2312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FA23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. По отношение на изискванията на глава</w:t>
      </w:r>
      <w:r w:rsidR="003B6132" w:rsidRPr="00FA23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VІ</w:t>
      </w:r>
      <w:r w:rsidRPr="00FA23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на Закона за опазване на околната среда (ЗООС</w:t>
      </w:r>
      <w:r w:rsidR="008A16AC" w:rsidRPr="00FA23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)</w:t>
      </w:r>
      <w:r w:rsidRPr="00FA23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:</w:t>
      </w:r>
    </w:p>
    <w:p w:rsidR="00EC2339" w:rsidRPr="00212768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12768">
        <w:rPr>
          <w:rFonts w:ascii="Times New Roman" w:eastAsia="Times New Roman" w:hAnsi="Times New Roman" w:cs="Times New Roman"/>
          <w:sz w:val="24"/>
          <w:szCs w:val="24"/>
        </w:rPr>
        <w:t xml:space="preserve">В Стратегията са заложени общите европейски политики и цели за развитие на енергетиката и за ограничаване изменението на климата, като са отразени националните специфики в областта на енергийните ресурси, производството, преноса и разпределението на енергия. Дефинирани са основните стратегически решения, насочени към постигането на националните цели и гарантирането на българските интереси.  </w:t>
      </w:r>
    </w:p>
    <w:p w:rsidR="00EC2339" w:rsidRPr="00212768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12768">
        <w:rPr>
          <w:rFonts w:ascii="Times New Roman" w:eastAsia="Times New Roman" w:hAnsi="Times New Roman" w:cs="Times New Roman"/>
          <w:sz w:val="24"/>
          <w:szCs w:val="24"/>
        </w:rPr>
        <w:t>Стратегията за устойчиво енергийно развитие на Република България до 2030 г. с хоризонт до 2050 г., отразява ясно тенденциите, мерките и политиките в областта на енергийната сигурност, енергийната ефективност, либерализацията на електроенергийния и газовия пазар и интегрирането им в общия европейски енергиен пазар, развитието и внедряването на нови енергийни технологии. Тези политики намират отражение и в Интегрирания план в областта на енергетиката и климата на Република България до 2030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768">
        <w:rPr>
          <w:rFonts w:ascii="Times New Roman" w:eastAsia="Times New Roman" w:hAnsi="Times New Roman" w:cs="Times New Roman"/>
          <w:sz w:val="24"/>
          <w:szCs w:val="24"/>
        </w:rPr>
        <w:t>г., който е изготвен в изпълнение на Регламент (ЕС) 2018/1999 относно управлението на Енергийния съюз и на действията в областта на климата.</w:t>
      </w:r>
    </w:p>
    <w:p w:rsidR="00EC2339" w:rsidRPr="00EC2339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12768">
        <w:rPr>
          <w:rFonts w:ascii="Times New Roman" w:eastAsia="Times New Roman" w:hAnsi="Times New Roman" w:cs="Times New Roman"/>
          <w:sz w:val="24"/>
          <w:szCs w:val="24"/>
        </w:rPr>
        <w:t>Проектът на Стратегия за устойчиво енергийно развитие до 2030 г. с хоризонт до 2050 г., както и проектът на Интегрирания план в областта на енергетиката и климата на Република България 2021 - 2030 г. са два свързани стратегически документа, разработени въз основа на европейската политика и при</w:t>
      </w:r>
      <w:r w:rsidRPr="00EC233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2768">
        <w:rPr>
          <w:rFonts w:ascii="Times New Roman" w:eastAsia="Times New Roman" w:hAnsi="Times New Roman" w:cs="Times New Roman"/>
          <w:sz w:val="24"/>
          <w:szCs w:val="24"/>
        </w:rPr>
        <w:t xml:space="preserve">ритети в областта на енергетиката и климата. В тях са заложени общи енергийни политики, приоритети, цели и мерки за тяхното изпълнение, като в Интегрирания план, мерките за изпълнение са развити в по-голяма дълбочина и детайлност. В проекта на Стратегия 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заложена </w:t>
      </w:r>
      <w:r w:rsidRPr="00212768">
        <w:rPr>
          <w:rFonts w:ascii="Times New Roman" w:eastAsia="Times New Roman" w:hAnsi="Times New Roman" w:cs="Times New Roman"/>
          <w:sz w:val="24"/>
          <w:szCs w:val="24"/>
        </w:rPr>
        <w:t xml:space="preserve">визията и общата рамка за развитие на енергетиката, като в нея не се включва по-голяма конкретика по отношение на инвестиционните проекти </w:t>
      </w:r>
      <w:r>
        <w:rPr>
          <w:rFonts w:ascii="Times New Roman" w:eastAsia="Times New Roman" w:hAnsi="Times New Roman" w:cs="Times New Roman"/>
          <w:sz w:val="24"/>
          <w:szCs w:val="24"/>
        </w:rPr>
        <w:t>предвид</w:t>
      </w:r>
      <w:r w:rsidRPr="00212768">
        <w:rPr>
          <w:rFonts w:ascii="Times New Roman" w:eastAsia="Times New Roman" w:hAnsi="Times New Roman" w:cs="Times New Roman"/>
          <w:sz w:val="24"/>
          <w:szCs w:val="24"/>
        </w:rPr>
        <w:t xml:space="preserve"> Интегрирания план.</w:t>
      </w:r>
    </w:p>
    <w:p w:rsidR="00EC2339" w:rsidRPr="00212768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12768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ангажиментите на Република България за постигане целите на европейската енергийна политика за създаване на Енергиен съюз, в Проекта на Стратегия са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</w:t>
      </w:r>
      <w:r w:rsidRPr="00212768">
        <w:rPr>
          <w:rFonts w:ascii="Times New Roman" w:eastAsia="Times New Roman" w:hAnsi="Times New Roman" w:cs="Times New Roman"/>
          <w:sz w:val="24"/>
          <w:szCs w:val="24"/>
        </w:rPr>
        <w:t xml:space="preserve"> следните основни приоритети:</w:t>
      </w:r>
    </w:p>
    <w:p w:rsidR="00EC2339" w:rsidRPr="00212768" w:rsidRDefault="00DC7B9C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Гарантиране на енергийната сигурност и устойчивото енергийно развитие;</w:t>
      </w:r>
    </w:p>
    <w:p w:rsidR="00EC2339" w:rsidRPr="00212768" w:rsidRDefault="00DC7B9C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Развитие на интегриран и конкурентен енергиен пазар и защита на потребителите чрез гарантиране на прозрачни, конкурентни и недискриминационни условия за ползване на енергийни услуги;</w:t>
      </w:r>
    </w:p>
    <w:p w:rsidR="00EC2339" w:rsidRPr="00212768" w:rsidRDefault="00DC7B9C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Повишаване на енергийната ефективност в процесите от производство до крайното потребление на енергия;</w:t>
      </w:r>
    </w:p>
    <w:p w:rsidR="00EC2339" w:rsidRPr="00212768" w:rsidRDefault="00DC7B9C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Използване и развитие на енергията от възобновяеми източници, съобразно наличния потенциал, капацитета на мрежите и националните специфики, като част от прехода към нисковъглеродна  икономика;</w:t>
      </w:r>
    </w:p>
    <w:p w:rsidR="00EC2339" w:rsidRPr="00212768" w:rsidRDefault="00DC7B9C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Внедряване на иновативни технологии за устойчиво енергийно развитие.</w:t>
      </w:r>
    </w:p>
    <w:p w:rsidR="00EC2339" w:rsidRPr="00212768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12768">
        <w:rPr>
          <w:rFonts w:ascii="Times New Roman" w:eastAsia="Times New Roman" w:hAnsi="Times New Roman" w:cs="Times New Roman"/>
          <w:sz w:val="24"/>
          <w:szCs w:val="24"/>
        </w:rPr>
        <w:lastRenderedPageBreak/>
        <w:t>Приносът 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епублика </w:t>
      </w:r>
      <w:r w:rsidRPr="00212768">
        <w:rPr>
          <w:rFonts w:ascii="Times New Roman" w:eastAsia="Times New Roman" w:hAnsi="Times New Roman" w:cs="Times New Roman"/>
          <w:sz w:val="24"/>
          <w:szCs w:val="24"/>
        </w:rPr>
        <w:t>България за изпълнението на общите европейски енергийни цели се осигурява чрез:</w:t>
      </w:r>
    </w:p>
    <w:p w:rsidR="00EC2339" w:rsidRPr="00212768" w:rsidRDefault="00DC7B9C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Намаляване на първичното енергийно потребление в сравнение с базовата прогноза PRIMES 2007 - 27.89%;</w:t>
      </w:r>
    </w:p>
    <w:p w:rsidR="00EC2339" w:rsidRPr="00212768" w:rsidRDefault="00DC7B9C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Намаляване на крайното енергийно потребление в сравнение с базовата прогноза PRIMES 2007 -</w:t>
      </w:r>
      <w:r w:rsidR="00EC2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31.67%;</w:t>
      </w:r>
    </w:p>
    <w:p w:rsidR="00EC2339" w:rsidRPr="00212768" w:rsidRDefault="00DC7B9C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27.09% дял на енергията от възобновяеми източници в брутното крайно потребление на енергия;</w:t>
      </w:r>
    </w:p>
    <w:p w:rsidR="00EC2339" w:rsidRDefault="00DC7B9C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EC2339" w:rsidRPr="00212768">
        <w:rPr>
          <w:rFonts w:ascii="Times New Roman" w:eastAsia="Times New Roman" w:hAnsi="Times New Roman" w:cs="Times New Roman"/>
          <w:sz w:val="24"/>
          <w:szCs w:val="24"/>
        </w:rPr>
        <w:t>най-малко 15% междусистемна електроенергийна свързаност.</w:t>
      </w:r>
    </w:p>
    <w:p w:rsidR="00EC2339" w:rsidRPr="00C87F4F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87F4F">
        <w:rPr>
          <w:rFonts w:ascii="Times New Roman" w:eastAsia="Times New Roman" w:hAnsi="Times New Roman" w:cs="Times New Roman"/>
          <w:sz w:val="24"/>
          <w:szCs w:val="24"/>
        </w:rPr>
        <w:t xml:space="preserve">Съгласно изискванията на Регламент (ЕС) 2018/1999 са разработени два сценария –WAM (с допълнителни политики и мерки) и WEM (със съществуващи политики и мерки). Сценарият WEM е базов сценарий, в който прогнозата се основава на политики и мерки, действащи към настоящия момент. Сценарият WAM е целеви сценарий, при който се постигат националните цели заложени в настоящия Интегриран план. Прогнозите в него се основат както на съществуващите, така и на планираните допълнителни политики и мерки, с които се постигат националните цели, заложени в ИНПЕК. </w:t>
      </w:r>
    </w:p>
    <w:p w:rsidR="00EC2339" w:rsidRPr="0014262C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12768">
        <w:rPr>
          <w:rFonts w:ascii="Times New Roman" w:eastAsia="Times New Roman" w:hAnsi="Times New Roman" w:cs="Times New Roman"/>
          <w:sz w:val="24"/>
          <w:szCs w:val="24"/>
        </w:rPr>
        <w:t xml:space="preserve">Стратегия за устойчиво енергийно развитие на Република България до 2030 г. с хоризонт до 2050 г. </w:t>
      </w:r>
      <w:r w:rsidRPr="00EC2339">
        <w:rPr>
          <w:rFonts w:ascii="Times New Roman" w:eastAsia="Times New Roman" w:hAnsi="Times New Roman" w:cs="Times New Roman"/>
          <w:sz w:val="24"/>
          <w:szCs w:val="24"/>
        </w:rPr>
        <w:t>се разработва за област „енергетика“, попада в обхвата на областите по чл. 85, ал. 1 от ЗООС, очертава рамка за бъдещо развитие на инвестиционни предложения по Приложение № 1 и 2 на Закона, поради което и на основание чл. 2, ал. 1, т. 1 на Наредбата за ЕО, подлежи на задължителна екологична оценка.</w:t>
      </w:r>
    </w:p>
    <w:p w:rsidR="00EC2339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53820">
        <w:rPr>
          <w:rFonts w:ascii="Times New Roman" w:eastAsia="Times New Roman" w:hAnsi="Times New Roman" w:cs="Times New Roman"/>
          <w:sz w:val="24"/>
          <w:szCs w:val="24"/>
        </w:rPr>
        <w:t xml:space="preserve">С писмо изх. № ЕО-4/27.02.2019 г. на министъра на околната среда и водите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Министерство на енергетиката е</w:t>
      </w:r>
      <w:r w:rsidRPr="00053820">
        <w:rPr>
          <w:rFonts w:ascii="Times New Roman" w:eastAsia="Times New Roman" w:hAnsi="Times New Roman" w:cs="Times New Roman"/>
          <w:sz w:val="24"/>
          <w:szCs w:val="24"/>
        </w:rPr>
        <w:t xml:space="preserve"> информира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53820">
        <w:rPr>
          <w:rFonts w:ascii="Times New Roman" w:eastAsia="Times New Roman" w:hAnsi="Times New Roman" w:cs="Times New Roman"/>
          <w:sz w:val="24"/>
          <w:szCs w:val="24"/>
        </w:rPr>
        <w:t xml:space="preserve"> за необходимостта от изготвяне на </w:t>
      </w:r>
      <w:r w:rsidRPr="0014262C">
        <w:rPr>
          <w:rFonts w:ascii="Times New Roman" w:eastAsia="Times New Roman" w:hAnsi="Times New Roman" w:cs="Times New Roman"/>
          <w:sz w:val="24"/>
          <w:szCs w:val="24"/>
        </w:rPr>
        <w:t>задължителна екологична оценка</w:t>
      </w:r>
      <w:r w:rsidRPr="00053820">
        <w:rPr>
          <w:rFonts w:ascii="Times New Roman" w:eastAsia="Times New Roman" w:hAnsi="Times New Roman" w:cs="Times New Roman"/>
          <w:sz w:val="24"/>
          <w:szCs w:val="24"/>
        </w:rPr>
        <w:t xml:space="preserve"> на проекта на Интегриран национален план в областта на енергетиката и климата на Република България, тъй като </w:t>
      </w:r>
      <w:r w:rsidRPr="00EC2339">
        <w:rPr>
          <w:rFonts w:ascii="Times New Roman" w:eastAsia="Times New Roman" w:hAnsi="Times New Roman" w:cs="Times New Roman"/>
          <w:sz w:val="24"/>
          <w:szCs w:val="24"/>
        </w:rPr>
        <w:t xml:space="preserve">ИНПЕК попада в обхвата на областите на чл. 85, ал. 1 от ЗООС, и очертава рамка за бъдещо развитие на инвестиционни предложения по Приложение № 1 и 2 на Закона, и във връзка с чл. 2, ал. 1, т. 1 и 2 на Наредбата за ЕО. В същото становище </w:t>
      </w:r>
      <w:r w:rsidRPr="00053820">
        <w:rPr>
          <w:rFonts w:ascii="Times New Roman" w:eastAsia="Times New Roman" w:hAnsi="Times New Roman" w:cs="Times New Roman"/>
          <w:sz w:val="24"/>
          <w:szCs w:val="24"/>
        </w:rPr>
        <w:t>е отбелязано, че предвид необходимостта от представяне на проекта на Интегриран план на Европейската комисия (ЕК) и очакваните в тази връзка бележки на ЕК, МОСВ ще се произнесе по отношение на оценката за съвместимост след предоставяне на преработения проект на интегриран план, който сте приложили към настоящото писмо.</w:t>
      </w:r>
    </w:p>
    <w:p w:rsidR="00EC2339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12768">
        <w:rPr>
          <w:rFonts w:ascii="Times New Roman" w:eastAsia="Times New Roman" w:hAnsi="Times New Roman" w:cs="Times New Roman"/>
          <w:sz w:val="24"/>
          <w:szCs w:val="24"/>
        </w:rPr>
        <w:t xml:space="preserve">Проектът на Стратегия за устойчиво енергийно развитие на Република България до 2030 г. с хоризонт до 2050 г. и проектът на Интегрирания план в областта на енергетиката и климата на Република България 2021 - 2030 г. </w:t>
      </w:r>
      <w:r>
        <w:rPr>
          <w:rFonts w:ascii="Times New Roman" w:eastAsia="Times New Roman" w:hAnsi="Times New Roman" w:cs="Times New Roman"/>
          <w:sz w:val="24"/>
          <w:szCs w:val="24"/>
        </w:rPr>
        <w:t>са с национален обхват и действие</w:t>
      </w:r>
      <w:r w:rsidRPr="00212768">
        <w:rPr>
          <w:rFonts w:ascii="Times New Roman" w:eastAsia="Times New Roman" w:hAnsi="Times New Roman" w:cs="Times New Roman"/>
          <w:sz w:val="24"/>
          <w:szCs w:val="24"/>
        </w:rPr>
        <w:t xml:space="preserve"> на цялата територия на страната.</w:t>
      </w:r>
    </w:p>
    <w:p w:rsidR="00EC2339" w:rsidRPr="00EC2339" w:rsidRDefault="00EC2339" w:rsidP="00DC7B9C">
      <w:pPr>
        <w:spacing w:after="0" w:line="240" w:lineRule="auto"/>
        <w:ind w:right="-569"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53820">
        <w:rPr>
          <w:rFonts w:ascii="Times New Roman" w:eastAsia="Times New Roman" w:hAnsi="Times New Roman" w:cs="Times New Roman"/>
          <w:sz w:val="24"/>
          <w:szCs w:val="24"/>
        </w:rPr>
        <w:t xml:space="preserve">Предвид, че </w:t>
      </w:r>
      <w:r w:rsidRPr="00EC2339">
        <w:rPr>
          <w:rFonts w:ascii="Times New Roman" w:eastAsia="Times New Roman" w:hAnsi="Times New Roman" w:cs="Times New Roman"/>
          <w:sz w:val="24"/>
          <w:szCs w:val="24"/>
        </w:rPr>
        <w:t>проектите на Стратегия за устойчиво енергийно развитие до 2030 г. с хоризонт до 2050 г. и на Интегриран план в областта на енергетиката и климата на Република България 2021 - 2030 г. са два свързани стратегически документа, разработени въз основа на европейската политика и приoритети в областта на енергетиката и климата, със заложени общи енергийни политики, приоритети, цели и мерки за тяхното изпълнение, приемаме Вашите мотиви за провеждане на една процедура по екологична оценка, респективно разработване на един доклад за екологична оценка.</w:t>
      </w:r>
    </w:p>
    <w:p w:rsidR="00EC2339" w:rsidRPr="00EC2339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C2339">
        <w:rPr>
          <w:rFonts w:ascii="Times New Roman" w:eastAsia="Times New Roman" w:hAnsi="Times New Roman" w:cs="Times New Roman"/>
          <w:sz w:val="24"/>
          <w:szCs w:val="24"/>
        </w:rPr>
        <w:t xml:space="preserve">Стратегията за устойчиво енергийно развитие на Република България до 2030 г. с хоризонт до 2050 г. и </w:t>
      </w:r>
      <w:r w:rsidRPr="00704BA4">
        <w:rPr>
          <w:rFonts w:ascii="Times New Roman" w:eastAsia="Times New Roman" w:hAnsi="Times New Roman" w:cs="Times New Roman"/>
          <w:sz w:val="24"/>
          <w:szCs w:val="24"/>
        </w:rPr>
        <w:t xml:space="preserve">Интегрираният национален план в областта на енергетиката и климата се приемат от Народно събрание/Министерски съвет, във връзка с което, на основание чл. 4, т. 1 от Наредбата за ЕО, компетентен орган за процедурата по ЕО е </w:t>
      </w:r>
      <w:r w:rsidRPr="00EC2339">
        <w:rPr>
          <w:rFonts w:ascii="Times New Roman" w:eastAsia="Times New Roman" w:hAnsi="Times New Roman" w:cs="Times New Roman"/>
          <w:sz w:val="24"/>
          <w:szCs w:val="24"/>
        </w:rPr>
        <w:t>министърът на околната среда и водите, като същият е компетентен и за провеждане на процедурата по оценка за съвместимостта с предмета и целите на опазване на защитените зони.</w:t>
      </w:r>
    </w:p>
    <w:p w:rsidR="00EC2339" w:rsidRPr="00EC2339" w:rsidRDefault="00EC2339" w:rsidP="00EC2339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C2339">
        <w:rPr>
          <w:rFonts w:ascii="Times New Roman" w:eastAsia="Times New Roman" w:hAnsi="Times New Roman" w:cs="Times New Roman"/>
          <w:sz w:val="24"/>
          <w:szCs w:val="24"/>
        </w:rPr>
        <w:t xml:space="preserve">Процедурата по ЕО се съвместява изцяло с действащите процедури по изготвяне и одобряване на стратегията и плана. Съгласно чл. 3, ал. 2, т. 1 от Наредбата за ЕО, екологичната оценка на двата документа се извършва едновременно с изготвянето им. </w:t>
      </w:r>
      <w:r w:rsidRPr="00EC2339">
        <w:rPr>
          <w:rFonts w:ascii="Times New Roman" w:eastAsia="Times New Roman" w:hAnsi="Times New Roman" w:cs="Times New Roman"/>
          <w:sz w:val="24"/>
          <w:szCs w:val="24"/>
        </w:rPr>
        <w:lastRenderedPageBreak/>
        <w:t>Становището по ЕО е задължително условие за последващо одобряване на Стратегията за устойчиво енергийно развитие и на ИНПЕК на Република България. Органите, отговорни за одобряване и прилагане на плана и стратегията, се съобразяват със становището по ЕО и поставените в него условия, мерки и ограничения.</w:t>
      </w:r>
    </w:p>
    <w:p w:rsidR="004613DA" w:rsidRPr="00EC2339" w:rsidRDefault="004613DA" w:rsidP="00EC2339">
      <w:pPr>
        <w:spacing w:before="120" w:after="0" w:line="240" w:lineRule="auto"/>
        <w:ind w:right="-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339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EC2339">
        <w:rPr>
          <w:rFonts w:ascii="Times New Roman" w:eastAsia="Times New Roman" w:hAnsi="Times New Roman" w:cs="Times New Roman"/>
          <w:b/>
          <w:sz w:val="24"/>
          <w:szCs w:val="24"/>
        </w:rPr>
        <w:t xml:space="preserve">І. По отношение на изискванията на чл. 31 от Закона за биологичното разнообразие (ЗБР): 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>Проектът на Стратегия за устойчиво енергийно развитие 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епублика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България до 2030 г. с хоризонт до 2050 г. и проектът на Интегриран национален план в областта на енергетиката и климата (ИНПЕК)</w:t>
      </w:r>
      <w:r w:rsidRPr="00DC4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на Република България до 2030 г. са предмет на една процедура. Стратегията и ИНПЕК попадат в обхвата на чл. 2</w:t>
      </w:r>
      <w:r w:rsidRPr="00DC7B9C">
        <w:rPr>
          <w:rFonts w:ascii="Times New Roman" w:eastAsia="Times New Roman" w:hAnsi="Times New Roman" w:cs="Times New Roman"/>
          <w:sz w:val="24"/>
          <w:szCs w:val="24"/>
        </w:rPr>
        <w:t>, ал. 1, т. 1 от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B9C">
        <w:rPr>
          <w:rFonts w:ascii="Times New Roman" w:eastAsia="Times New Roman" w:hAnsi="Times New Roman" w:cs="Times New Roman"/>
          <w:sz w:val="24"/>
          <w:szCs w:val="24"/>
        </w:rPr>
        <w:t>Наредба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 (Наредба за ОС, обн., ДВ, бр.73/2007 г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B9C">
        <w:rPr>
          <w:rFonts w:ascii="Times New Roman" w:eastAsia="Times New Roman" w:hAnsi="Times New Roman" w:cs="Times New Roman"/>
          <w:sz w:val="24"/>
          <w:szCs w:val="24"/>
        </w:rPr>
        <w:t>., изм. и доп.)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 xml:space="preserve"> и подлежат на процедура по </w:t>
      </w:r>
      <w:r w:rsidRPr="00637929">
        <w:rPr>
          <w:rFonts w:ascii="Times New Roman" w:eastAsia="Times New Roman" w:hAnsi="Times New Roman" w:cs="Times New Roman"/>
          <w:sz w:val="24"/>
          <w:szCs w:val="24"/>
        </w:rPr>
        <w:t>оценка за съвместимостта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 xml:space="preserve"> им с предмета и целите на опазване на защитените зони от екологичната мрежа Натура 2000 по реда на чл. 31, ал. 4 във връзка с ал. 1 от Закона за биологичното разнообразие (ЗБР).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>Извършена е проверка за допустимост съгласно чл. 37, ал. 2 от Наредбата за ОС, според която и двата проекта са допустими при съобразяване на предвижданията им с:</w:t>
      </w:r>
    </w:p>
    <w:p w:rsidR="00EC2339" w:rsidRPr="00020460" w:rsidRDefault="00DC7B9C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2339" w:rsidRPr="00020460">
        <w:rPr>
          <w:rFonts w:ascii="Times New Roman" w:eastAsia="Times New Roman" w:hAnsi="Times New Roman" w:cs="Times New Roman"/>
          <w:sz w:val="24"/>
          <w:szCs w:val="24"/>
        </w:rPr>
        <w:t>режимите на защитените територии, определени със Закона за защитените територии, заповедите за обявяването им и с утвърдените планове за управление и</w:t>
      </w:r>
    </w:p>
    <w:p w:rsidR="00EC2339" w:rsidRPr="00020460" w:rsidRDefault="00DC7B9C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2339" w:rsidRPr="00020460">
        <w:rPr>
          <w:rFonts w:ascii="Times New Roman" w:eastAsia="Times New Roman" w:hAnsi="Times New Roman" w:cs="Times New Roman"/>
          <w:sz w:val="24"/>
          <w:szCs w:val="24"/>
        </w:rPr>
        <w:t>режимите на защитените зони, определени със заповедите за обявяването им и с утвърдените планове за управление.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 xml:space="preserve">След преглед на представената документация и на основание чл. 37, ал. 3 от </w:t>
      </w:r>
      <w:r w:rsidRPr="002E240B">
        <w:rPr>
          <w:rFonts w:ascii="Times New Roman" w:eastAsia="Times New Roman" w:hAnsi="Times New Roman" w:cs="Times New Roman"/>
          <w:sz w:val="24"/>
          <w:szCs w:val="24"/>
        </w:rPr>
        <w:t>Наредбата за ОС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, въз основа на критериите по чл. 16 от нея, е направена преценка за вероятната степен на отрицателно въздействие, според която двата проекта има вероятност да окажат значително отрицателно въздействие върху природни местообитания, популации и местообитания на видове, предмет на опазване в защитените зони от екологичната мрежа Натура 2000, поради следните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2339" w:rsidRPr="00DC7B9C" w:rsidRDefault="00EC2339" w:rsidP="00DC7B9C">
      <w:pPr>
        <w:spacing w:after="0" w:line="240" w:lineRule="auto"/>
        <w:ind w:right="-569" w:firstLine="720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B9C">
        <w:rPr>
          <w:rFonts w:ascii="Times New Roman" w:eastAsia="Times New Roman" w:hAnsi="Times New Roman" w:cs="Times New Roman"/>
          <w:b/>
          <w:sz w:val="24"/>
          <w:szCs w:val="24"/>
        </w:rPr>
        <w:t>мотиви:</w:t>
      </w:r>
    </w:p>
    <w:p w:rsidR="00EC2339" w:rsidRPr="00DC7B9C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2339" w:rsidRPr="00020460" w:rsidRDefault="00DC7B9C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C2339" w:rsidRPr="00020460">
        <w:rPr>
          <w:rFonts w:ascii="Times New Roman" w:eastAsia="Times New Roman" w:hAnsi="Times New Roman" w:cs="Times New Roman"/>
          <w:sz w:val="24"/>
          <w:szCs w:val="24"/>
        </w:rPr>
        <w:t>Република България ще се стреми да постигне до 2030 г. най-малко 27.09 % дял на енергията от възобновяеми източници (ВИ) в брутното крайно потребление на енергия. Така определената национална цел следва да бъде постигната чрез увеличаване на потреблението на енергия от ВИ и в трите сектора: електрическа енергия, топлинна енергия и енергия за охлаждане, и транспорт. Постигането на тази цел предполага изграждане и разширение на съоръжения за добив на енергия от възобновяеми източници</w:t>
      </w:r>
      <w:r w:rsidR="00EC2339" w:rsidRPr="00DC7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339" w:rsidRPr="00020460">
        <w:rPr>
          <w:rFonts w:ascii="Times New Roman" w:eastAsia="Times New Roman" w:hAnsi="Times New Roman" w:cs="Times New Roman"/>
          <w:sz w:val="24"/>
          <w:szCs w:val="24"/>
        </w:rPr>
        <w:t>дължащ се на увеличаване на произведената електрическа енергия от слънчева и вятърна енергия и биомаса с възможни преки и косвени отрицателни въздействия върху защитени зони за опазване на природните местообитания, на дивата флора и фауна и за опазване на дивите птици, както следва: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увреждане, унищожаване и загуба на природни местообитания и местообитания на видове, включително птици, предмет на опазване в защитените зони, в резултат от строителството и експлоатацията на енергийните съоръжения;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фрагментиране на природни местообитания и местообитания на видове, включително птици, предмет на опазване в защитените зони, както от реализирането на енергийните паркове, така и от изграждането и експлоатацията на съпътстващата ги инфраструктура;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трансформация на природни местообитания и местообитания на видове, вкл. птици, поради навлизане на рудерални/синантропни и инвазивни видове;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трайна промяна на ключови елементи на защитените зони, както и на ландшафта;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промяна на екологичния статус на горските местообитания: загуба/влошаване на природни местообитания и местообитания на видове;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различно по продължителност и интензитет безпокойство на опазваните животни при строителството и експлоатацията на съоръженията, изразяващо се в прогонването от местообитанията им;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промени във видовия състав, числеността и структурата на популациите на опазваните видове (растения и животни), както поради пряко унищожаване на екземпляри, така и косвено поради изменения в местообитанията им;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204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бариерен ефект при различни типове миграционни придвижвания (хранителни, размножителни, сезонни, вертикални и хоризонтилни) и прекъсване на биокоридори;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C7B9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C7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Проявлението на посочените по-горе отрицателни въздействия са предпоставка за възможно нарушаване на целостта на защитените зони и до прекъсване на функционалните връзки между тях, до забавяне/възпрепятстване на постигането на консервационните и реставрационни цели на зоните.</w:t>
      </w:r>
    </w:p>
    <w:p w:rsidR="00EC2339" w:rsidRPr="00020460" w:rsidRDefault="00EC2339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C7B9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C7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>Възможни са кумулативни въздействия върху защитените зони и предмета на опазване в тях в резултат от сумарното въздействие на разглежданите в стратегията и плана реализирани до момента (ВЕЦ, ВтЕЦ, ФЦ, ТЕЦ, АЕЦ,</w:t>
      </w:r>
      <w:r w:rsidRPr="00DC7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60">
        <w:rPr>
          <w:rFonts w:ascii="Times New Roman" w:eastAsia="Times New Roman" w:hAnsi="Times New Roman" w:cs="Times New Roman"/>
          <w:sz w:val="24"/>
          <w:szCs w:val="24"/>
        </w:rPr>
        <w:t xml:space="preserve">геотермална енергия, използване на биогорива, нетранспортните течни горива от биомаса и газообразните и твърдите горива от биомаса, газопреносни системи, елекропреносни системи и др.) и прилагането на мерките, заложени в плана. </w:t>
      </w:r>
    </w:p>
    <w:p w:rsidR="004613DA" w:rsidRPr="00DC7B9C" w:rsidRDefault="004613DA" w:rsidP="00DC7B9C">
      <w:pPr>
        <w:spacing w:after="0" w:line="240" w:lineRule="auto"/>
        <w:ind w:right="-569"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1DF" w:rsidRDefault="004613DA" w:rsidP="004613DA">
      <w:pPr>
        <w:tabs>
          <w:tab w:val="left" w:pos="7513"/>
        </w:tabs>
        <w:spacing w:before="120" w:after="0" w:line="240" w:lineRule="auto"/>
        <w:ind w:right="-851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                                                                                  Отг. от МОСВ на </w:t>
      </w:r>
      <w:r w:rsidR="00EC233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.04.2020 г.</w:t>
      </w:r>
    </w:p>
    <w:sectPr w:rsidR="00A231DF" w:rsidSect="00A231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98" w:rsidRDefault="00E65798" w:rsidP="00344A2F">
      <w:pPr>
        <w:spacing w:after="0" w:line="240" w:lineRule="auto"/>
      </w:pPr>
      <w:r>
        <w:separator/>
      </w:r>
    </w:p>
  </w:endnote>
  <w:endnote w:type="continuationSeparator" w:id="0">
    <w:p w:rsidR="00E65798" w:rsidRDefault="00E65798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616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51B" w:rsidRDefault="00EE25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51B" w:rsidRDefault="00EE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41E177" wp14:editId="7E736446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D9784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2903A3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2BDACDAA" wp14:editId="0410AC88">
                <wp:extent cx="1828800" cy="7239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w_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r w:rsidRPr="00492363">
            <w:rPr>
              <w:rFonts w:ascii="Times" w:eastAsia="Calibri" w:hAnsi="Times" w:cs="Times New Roman"/>
              <w:lang w:val="en-US"/>
            </w:rPr>
            <w:t>. „</w:t>
          </w:r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0EB7929C" wp14:editId="33801CCD">
                <wp:extent cx="371475" cy="371475"/>
                <wp:effectExtent l="0" t="0" r="9525" b="9525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98" w:rsidRDefault="00E65798" w:rsidP="00344A2F">
      <w:pPr>
        <w:spacing w:after="0" w:line="240" w:lineRule="auto"/>
      </w:pPr>
      <w:r>
        <w:separator/>
      </w:r>
    </w:p>
  </w:footnote>
  <w:footnote w:type="continuationSeparator" w:id="0">
    <w:p w:rsidR="00E65798" w:rsidRDefault="00E65798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B5" w:rsidRDefault="00B53CB5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A0C"/>
    <w:multiLevelType w:val="hybridMultilevel"/>
    <w:tmpl w:val="0D6072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7491D"/>
    <w:multiLevelType w:val="hybridMultilevel"/>
    <w:tmpl w:val="205E235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4F01A10"/>
    <w:multiLevelType w:val="hybridMultilevel"/>
    <w:tmpl w:val="13D2BEE0"/>
    <w:lvl w:ilvl="0" w:tplc="FBB045C0">
      <w:start w:val="1"/>
      <w:numFmt w:val="decimal"/>
      <w:lvlText w:val="%1."/>
      <w:lvlJc w:val="center"/>
      <w:pPr>
        <w:ind w:left="96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05A53813"/>
    <w:multiLevelType w:val="hybridMultilevel"/>
    <w:tmpl w:val="EC925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E31001"/>
    <w:multiLevelType w:val="hybridMultilevel"/>
    <w:tmpl w:val="F57C2268"/>
    <w:lvl w:ilvl="0" w:tplc="5A2E3432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D247C5"/>
    <w:multiLevelType w:val="multilevel"/>
    <w:tmpl w:val="3F9E0252"/>
    <w:lvl w:ilvl="0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07161A4E"/>
    <w:multiLevelType w:val="hybridMultilevel"/>
    <w:tmpl w:val="6D501A04"/>
    <w:lvl w:ilvl="0" w:tplc="DF927F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5F40D1"/>
    <w:multiLevelType w:val="hybridMultilevel"/>
    <w:tmpl w:val="F418C0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D4CB4"/>
    <w:multiLevelType w:val="hybridMultilevel"/>
    <w:tmpl w:val="F57C2268"/>
    <w:lvl w:ilvl="0" w:tplc="5A2E3432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202946"/>
    <w:multiLevelType w:val="hybridMultilevel"/>
    <w:tmpl w:val="19A2AC90"/>
    <w:lvl w:ilvl="0" w:tplc="E006E5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77776"/>
    <w:multiLevelType w:val="hybridMultilevel"/>
    <w:tmpl w:val="13DA1412"/>
    <w:lvl w:ilvl="0" w:tplc="967EE516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12481569"/>
    <w:multiLevelType w:val="hybridMultilevel"/>
    <w:tmpl w:val="3DAA1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4F6D57"/>
    <w:multiLevelType w:val="hybridMultilevel"/>
    <w:tmpl w:val="D6786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9B3973"/>
    <w:multiLevelType w:val="hybridMultilevel"/>
    <w:tmpl w:val="F57C2268"/>
    <w:lvl w:ilvl="0" w:tplc="5A2E3432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271869"/>
    <w:multiLevelType w:val="hybridMultilevel"/>
    <w:tmpl w:val="315016E6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1380825"/>
    <w:multiLevelType w:val="hybridMultilevel"/>
    <w:tmpl w:val="D204A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851DA"/>
    <w:multiLevelType w:val="hybridMultilevel"/>
    <w:tmpl w:val="4E907FB8"/>
    <w:lvl w:ilvl="0" w:tplc="82E64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A371A"/>
    <w:multiLevelType w:val="hybridMultilevel"/>
    <w:tmpl w:val="B5D429D6"/>
    <w:lvl w:ilvl="0" w:tplc="FBB045C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16CF"/>
    <w:multiLevelType w:val="hybridMultilevel"/>
    <w:tmpl w:val="D910C600"/>
    <w:lvl w:ilvl="0" w:tplc="FA38D6C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867E8"/>
    <w:multiLevelType w:val="hybridMultilevel"/>
    <w:tmpl w:val="45F40DF0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0" w15:restartNumberingAfterBreak="0">
    <w:nsid w:val="2EF356FA"/>
    <w:multiLevelType w:val="hybridMultilevel"/>
    <w:tmpl w:val="FAAA19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19974AD"/>
    <w:multiLevelType w:val="multilevel"/>
    <w:tmpl w:val="FA72AF9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22" w15:restartNumberingAfterBreak="0">
    <w:nsid w:val="35221CD3"/>
    <w:multiLevelType w:val="hybridMultilevel"/>
    <w:tmpl w:val="18F25B1C"/>
    <w:lvl w:ilvl="0" w:tplc="CE86A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557B0"/>
    <w:multiLevelType w:val="hybridMultilevel"/>
    <w:tmpl w:val="609A4BC4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4" w15:restartNumberingAfterBreak="0">
    <w:nsid w:val="3CC75926"/>
    <w:multiLevelType w:val="hybridMultilevel"/>
    <w:tmpl w:val="A6489480"/>
    <w:lvl w:ilvl="0" w:tplc="7C5C3FAC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16600"/>
    <w:multiLevelType w:val="hybridMultilevel"/>
    <w:tmpl w:val="C10C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A69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F4106"/>
    <w:multiLevelType w:val="hybridMultilevel"/>
    <w:tmpl w:val="A26A6F6C"/>
    <w:lvl w:ilvl="0" w:tplc="0409000F">
      <w:start w:val="1"/>
      <w:numFmt w:val="decimal"/>
      <w:lvlText w:val="%1."/>
      <w:lvlJc w:val="left"/>
      <w:pPr>
        <w:ind w:left="187" w:hanging="360"/>
      </w:pPr>
    </w:lvl>
    <w:lvl w:ilvl="1" w:tplc="04090019" w:tentative="1">
      <w:start w:val="1"/>
      <w:numFmt w:val="lowerLetter"/>
      <w:lvlText w:val="%2."/>
      <w:lvlJc w:val="left"/>
      <w:pPr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27" w15:restartNumberingAfterBreak="0">
    <w:nsid w:val="40DA3F0C"/>
    <w:multiLevelType w:val="hybridMultilevel"/>
    <w:tmpl w:val="EF321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63B39"/>
    <w:multiLevelType w:val="hybridMultilevel"/>
    <w:tmpl w:val="1F9CFAF6"/>
    <w:lvl w:ilvl="0" w:tplc="6FCEB2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1C3255"/>
    <w:multiLevelType w:val="multilevel"/>
    <w:tmpl w:val="31CCA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3863F7"/>
    <w:multiLevelType w:val="hybridMultilevel"/>
    <w:tmpl w:val="C742CF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B54C36"/>
    <w:multiLevelType w:val="hybridMultilevel"/>
    <w:tmpl w:val="936AB9E8"/>
    <w:lvl w:ilvl="0" w:tplc="6408126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52F55930"/>
    <w:multiLevelType w:val="multilevel"/>
    <w:tmpl w:val="85069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AB1E39"/>
    <w:multiLevelType w:val="hybridMultilevel"/>
    <w:tmpl w:val="638AF92A"/>
    <w:lvl w:ilvl="0" w:tplc="B9DA54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6E30D07"/>
    <w:multiLevelType w:val="hybridMultilevel"/>
    <w:tmpl w:val="A24836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1E7563"/>
    <w:multiLevelType w:val="hybridMultilevel"/>
    <w:tmpl w:val="D3E6A2FA"/>
    <w:lvl w:ilvl="0" w:tplc="C85031C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C7405"/>
    <w:multiLevelType w:val="hybridMultilevel"/>
    <w:tmpl w:val="3346877C"/>
    <w:lvl w:ilvl="0" w:tplc="B9DA54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23860"/>
    <w:multiLevelType w:val="hybridMultilevel"/>
    <w:tmpl w:val="D910C600"/>
    <w:lvl w:ilvl="0" w:tplc="FA38D6C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6282F"/>
    <w:multiLevelType w:val="hybridMultilevel"/>
    <w:tmpl w:val="8E4C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F0831"/>
    <w:multiLevelType w:val="hybridMultilevel"/>
    <w:tmpl w:val="CB02A516"/>
    <w:lvl w:ilvl="0" w:tplc="CD64FC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52667"/>
    <w:multiLevelType w:val="hybridMultilevel"/>
    <w:tmpl w:val="78E6AF80"/>
    <w:lvl w:ilvl="0" w:tplc="AA4EFC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8C16345"/>
    <w:multiLevelType w:val="hybridMultilevel"/>
    <w:tmpl w:val="A426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9D23DE"/>
    <w:multiLevelType w:val="hybridMultilevel"/>
    <w:tmpl w:val="4E907FB8"/>
    <w:lvl w:ilvl="0" w:tplc="82E64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500C4"/>
    <w:multiLevelType w:val="hybridMultilevel"/>
    <w:tmpl w:val="EB6C3FA0"/>
    <w:lvl w:ilvl="0" w:tplc="6408126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7C7D1DB8"/>
    <w:multiLevelType w:val="hybridMultilevel"/>
    <w:tmpl w:val="80A8509C"/>
    <w:lvl w:ilvl="0" w:tplc="6E229D12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A0220F"/>
    <w:multiLevelType w:val="hybridMultilevel"/>
    <w:tmpl w:val="2B5820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2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0"/>
  </w:num>
  <w:num w:numId="8">
    <w:abstractNumId w:val="25"/>
  </w:num>
  <w:num w:numId="9">
    <w:abstractNumId w:val="37"/>
  </w:num>
  <w:num w:numId="10">
    <w:abstractNumId w:val="14"/>
  </w:num>
  <w:num w:numId="11">
    <w:abstractNumId w:val="19"/>
  </w:num>
  <w:num w:numId="12">
    <w:abstractNumId w:val="43"/>
  </w:num>
  <w:num w:numId="13">
    <w:abstractNumId w:val="32"/>
  </w:num>
  <w:num w:numId="14">
    <w:abstractNumId w:val="17"/>
  </w:num>
  <w:num w:numId="15">
    <w:abstractNumId w:val="41"/>
  </w:num>
  <w:num w:numId="16">
    <w:abstractNumId w:val="35"/>
  </w:num>
  <w:num w:numId="17">
    <w:abstractNumId w:val="3"/>
  </w:num>
  <w:num w:numId="18">
    <w:abstractNumId w:val="27"/>
  </w:num>
  <w:num w:numId="19">
    <w:abstractNumId w:val="26"/>
  </w:num>
  <w:num w:numId="20">
    <w:abstractNumId w:val="10"/>
  </w:num>
  <w:num w:numId="21">
    <w:abstractNumId w:val="7"/>
  </w:num>
  <w:num w:numId="22">
    <w:abstractNumId w:val="9"/>
  </w:num>
  <w:num w:numId="23">
    <w:abstractNumId w:val="20"/>
  </w:num>
  <w:num w:numId="24">
    <w:abstractNumId w:val="33"/>
  </w:num>
  <w:num w:numId="25">
    <w:abstractNumId w:val="36"/>
  </w:num>
  <w:num w:numId="26">
    <w:abstractNumId w:val="18"/>
  </w:num>
  <w:num w:numId="27">
    <w:abstractNumId w:val="39"/>
  </w:num>
  <w:num w:numId="28">
    <w:abstractNumId w:val="29"/>
  </w:num>
  <w:num w:numId="29">
    <w:abstractNumId w:val="31"/>
  </w:num>
  <w:num w:numId="30">
    <w:abstractNumId w:val="38"/>
  </w:num>
  <w:num w:numId="31">
    <w:abstractNumId w:val="11"/>
  </w:num>
  <w:num w:numId="32">
    <w:abstractNumId w:val="4"/>
  </w:num>
  <w:num w:numId="33">
    <w:abstractNumId w:val="22"/>
  </w:num>
  <w:num w:numId="34">
    <w:abstractNumId w:val="2"/>
  </w:num>
  <w:num w:numId="35">
    <w:abstractNumId w:val="13"/>
  </w:num>
  <w:num w:numId="36">
    <w:abstractNumId w:val="8"/>
  </w:num>
  <w:num w:numId="37">
    <w:abstractNumId w:val="42"/>
  </w:num>
  <w:num w:numId="38">
    <w:abstractNumId w:val="16"/>
  </w:num>
  <w:num w:numId="39">
    <w:abstractNumId w:val="23"/>
  </w:num>
  <w:num w:numId="40">
    <w:abstractNumId w:val="21"/>
  </w:num>
  <w:num w:numId="41">
    <w:abstractNumId w:val="1"/>
  </w:num>
  <w:num w:numId="42">
    <w:abstractNumId w:val="12"/>
  </w:num>
  <w:num w:numId="43">
    <w:abstractNumId w:val="15"/>
  </w:num>
  <w:num w:numId="44">
    <w:abstractNumId w:val="5"/>
  </w:num>
  <w:num w:numId="45">
    <w:abstractNumId w:val="4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0632F"/>
    <w:rsid w:val="0001138F"/>
    <w:rsid w:val="00030B2E"/>
    <w:rsid w:val="00035B23"/>
    <w:rsid w:val="000A030E"/>
    <w:rsid w:val="000A24B5"/>
    <w:rsid w:val="000A2F93"/>
    <w:rsid w:val="000B1D1C"/>
    <w:rsid w:val="000B7008"/>
    <w:rsid w:val="000C58F2"/>
    <w:rsid w:val="000D3C55"/>
    <w:rsid w:val="000D4E8E"/>
    <w:rsid w:val="000D7D37"/>
    <w:rsid w:val="000E5154"/>
    <w:rsid w:val="000E6932"/>
    <w:rsid w:val="000F5AC6"/>
    <w:rsid w:val="001364DF"/>
    <w:rsid w:val="00143F49"/>
    <w:rsid w:val="0014712E"/>
    <w:rsid w:val="00147F4C"/>
    <w:rsid w:val="00161DFC"/>
    <w:rsid w:val="001667E2"/>
    <w:rsid w:val="00192FBF"/>
    <w:rsid w:val="001A3998"/>
    <w:rsid w:val="001A6A11"/>
    <w:rsid w:val="001B0D49"/>
    <w:rsid w:val="001B2580"/>
    <w:rsid w:val="001E21A7"/>
    <w:rsid w:val="00201B4F"/>
    <w:rsid w:val="00207BDA"/>
    <w:rsid w:val="00207FB4"/>
    <w:rsid w:val="00220C04"/>
    <w:rsid w:val="002527CA"/>
    <w:rsid w:val="00253896"/>
    <w:rsid w:val="0026017D"/>
    <w:rsid w:val="00263394"/>
    <w:rsid w:val="00263E72"/>
    <w:rsid w:val="002903A3"/>
    <w:rsid w:val="002925CF"/>
    <w:rsid w:val="00294C20"/>
    <w:rsid w:val="002B3F98"/>
    <w:rsid w:val="002C3C59"/>
    <w:rsid w:val="002D6FFB"/>
    <w:rsid w:val="002E4579"/>
    <w:rsid w:val="00302E13"/>
    <w:rsid w:val="003040F6"/>
    <w:rsid w:val="00320A90"/>
    <w:rsid w:val="0032744E"/>
    <w:rsid w:val="00344A2F"/>
    <w:rsid w:val="00344B45"/>
    <w:rsid w:val="00352C54"/>
    <w:rsid w:val="00375E69"/>
    <w:rsid w:val="0037741F"/>
    <w:rsid w:val="003872CB"/>
    <w:rsid w:val="0039565B"/>
    <w:rsid w:val="003965F7"/>
    <w:rsid w:val="00397DEC"/>
    <w:rsid w:val="003B6132"/>
    <w:rsid w:val="003C665B"/>
    <w:rsid w:val="003D4347"/>
    <w:rsid w:val="003E1C2F"/>
    <w:rsid w:val="003E4626"/>
    <w:rsid w:val="003F014F"/>
    <w:rsid w:val="00402AD9"/>
    <w:rsid w:val="00407054"/>
    <w:rsid w:val="0042006D"/>
    <w:rsid w:val="00426197"/>
    <w:rsid w:val="004310D6"/>
    <w:rsid w:val="00454849"/>
    <w:rsid w:val="00457EAC"/>
    <w:rsid w:val="00460619"/>
    <w:rsid w:val="004613DA"/>
    <w:rsid w:val="004817CF"/>
    <w:rsid w:val="00483E8A"/>
    <w:rsid w:val="00492363"/>
    <w:rsid w:val="00497893"/>
    <w:rsid w:val="004A32D9"/>
    <w:rsid w:val="004B06AE"/>
    <w:rsid w:val="004C343E"/>
    <w:rsid w:val="004D2676"/>
    <w:rsid w:val="004D3EB8"/>
    <w:rsid w:val="004D4E54"/>
    <w:rsid w:val="004E6030"/>
    <w:rsid w:val="004F22A9"/>
    <w:rsid w:val="00535D30"/>
    <w:rsid w:val="00541ECA"/>
    <w:rsid w:val="00550891"/>
    <w:rsid w:val="00553474"/>
    <w:rsid w:val="00560124"/>
    <w:rsid w:val="005733BF"/>
    <w:rsid w:val="005745E4"/>
    <w:rsid w:val="00580BC0"/>
    <w:rsid w:val="00587702"/>
    <w:rsid w:val="005B18AF"/>
    <w:rsid w:val="005C69E3"/>
    <w:rsid w:val="005D2215"/>
    <w:rsid w:val="005D2532"/>
    <w:rsid w:val="005D5820"/>
    <w:rsid w:val="005D6EE1"/>
    <w:rsid w:val="005E19A3"/>
    <w:rsid w:val="005E7CFD"/>
    <w:rsid w:val="005F03D0"/>
    <w:rsid w:val="005F4560"/>
    <w:rsid w:val="00600887"/>
    <w:rsid w:val="006061B6"/>
    <w:rsid w:val="006107A1"/>
    <w:rsid w:val="006138B5"/>
    <w:rsid w:val="00615820"/>
    <w:rsid w:val="00617EE2"/>
    <w:rsid w:val="00626587"/>
    <w:rsid w:val="0063213E"/>
    <w:rsid w:val="00633E0A"/>
    <w:rsid w:val="00641FEA"/>
    <w:rsid w:val="00652CF4"/>
    <w:rsid w:val="00653437"/>
    <w:rsid w:val="00666E8C"/>
    <w:rsid w:val="006806D1"/>
    <w:rsid w:val="00682109"/>
    <w:rsid w:val="00687CD0"/>
    <w:rsid w:val="006A1E33"/>
    <w:rsid w:val="006A29D4"/>
    <w:rsid w:val="006B5362"/>
    <w:rsid w:val="006C1155"/>
    <w:rsid w:val="006C52B5"/>
    <w:rsid w:val="006D1F2D"/>
    <w:rsid w:val="006D52DD"/>
    <w:rsid w:val="006D6D76"/>
    <w:rsid w:val="006D6F16"/>
    <w:rsid w:val="006D6FE9"/>
    <w:rsid w:val="006E2243"/>
    <w:rsid w:val="006E5983"/>
    <w:rsid w:val="006E7C91"/>
    <w:rsid w:val="00704414"/>
    <w:rsid w:val="0070483D"/>
    <w:rsid w:val="00713A54"/>
    <w:rsid w:val="007367E8"/>
    <w:rsid w:val="0073776C"/>
    <w:rsid w:val="007425C6"/>
    <w:rsid w:val="0074373A"/>
    <w:rsid w:val="00766B69"/>
    <w:rsid w:val="00767A9A"/>
    <w:rsid w:val="00772C3F"/>
    <w:rsid w:val="00773F0E"/>
    <w:rsid w:val="007854FF"/>
    <w:rsid w:val="00790946"/>
    <w:rsid w:val="00793C24"/>
    <w:rsid w:val="00794CCA"/>
    <w:rsid w:val="007A2D54"/>
    <w:rsid w:val="007B4E1B"/>
    <w:rsid w:val="007C36F0"/>
    <w:rsid w:val="007C3A5E"/>
    <w:rsid w:val="007C7537"/>
    <w:rsid w:val="007D7AEF"/>
    <w:rsid w:val="007F3ADF"/>
    <w:rsid w:val="007F6D49"/>
    <w:rsid w:val="00804D30"/>
    <w:rsid w:val="00812742"/>
    <w:rsid w:val="0081382F"/>
    <w:rsid w:val="0083586C"/>
    <w:rsid w:val="00846DB0"/>
    <w:rsid w:val="008743D3"/>
    <w:rsid w:val="00890D40"/>
    <w:rsid w:val="00892D76"/>
    <w:rsid w:val="008A16AC"/>
    <w:rsid w:val="008A3367"/>
    <w:rsid w:val="008B0825"/>
    <w:rsid w:val="008C32AB"/>
    <w:rsid w:val="008D5839"/>
    <w:rsid w:val="008E5085"/>
    <w:rsid w:val="008E5E5A"/>
    <w:rsid w:val="008F66A3"/>
    <w:rsid w:val="009007FC"/>
    <w:rsid w:val="00907200"/>
    <w:rsid w:val="00912C63"/>
    <w:rsid w:val="00920F4F"/>
    <w:rsid w:val="009229A9"/>
    <w:rsid w:val="0093791A"/>
    <w:rsid w:val="00954ECF"/>
    <w:rsid w:val="0095734D"/>
    <w:rsid w:val="009721A2"/>
    <w:rsid w:val="009722BC"/>
    <w:rsid w:val="009775F9"/>
    <w:rsid w:val="00985B54"/>
    <w:rsid w:val="009870F2"/>
    <w:rsid w:val="009A346E"/>
    <w:rsid w:val="009A3CC2"/>
    <w:rsid w:val="009B2729"/>
    <w:rsid w:val="009E1F23"/>
    <w:rsid w:val="009E2F32"/>
    <w:rsid w:val="009E3A35"/>
    <w:rsid w:val="00A03690"/>
    <w:rsid w:val="00A061D6"/>
    <w:rsid w:val="00A231DF"/>
    <w:rsid w:val="00A40D6E"/>
    <w:rsid w:val="00A50983"/>
    <w:rsid w:val="00A65469"/>
    <w:rsid w:val="00A8654A"/>
    <w:rsid w:val="00A972D0"/>
    <w:rsid w:val="00AB0BE4"/>
    <w:rsid w:val="00AB1C0D"/>
    <w:rsid w:val="00AB5FC2"/>
    <w:rsid w:val="00AC4D3E"/>
    <w:rsid w:val="00AD42AB"/>
    <w:rsid w:val="00AD6825"/>
    <w:rsid w:val="00AF12EE"/>
    <w:rsid w:val="00B02965"/>
    <w:rsid w:val="00B23C91"/>
    <w:rsid w:val="00B25638"/>
    <w:rsid w:val="00B520AC"/>
    <w:rsid w:val="00B53CB5"/>
    <w:rsid w:val="00B615BF"/>
    <w:rsid w:val="00B62DB2"/>
    <w:rsid w:val="00B72645"/>
    <w:rsid w:val="00B8063E"/>
    <w:rsid w:val="00B80E58"/>
    <w:rsid w:val="00B81891"/>
    <w:rsid w:val="00B847D2"/>
    <w:rsid w:val="00BC168A"/>
    <w:rsid w:val="00BC3566"/>
    <w:rsid w:val="00BD2C20"/>
    <w:rsid w:val="00BD7727"/>
    <w:rsid w:val="00BD7817"/>
    <w:rsid w:val="00BE6C78"/>
    <w:rsid w:val="00C018B0"/>
    <w:rsid w:val="00C02954"/>
    <w:rsid w:val="00C157FB"/>
    <w:rsid w:val="00C20505"/>
    <w:rsid w:val="00C20C6B"/>
    <w:rsid w:val="00C2196F"/>
    <w:rsid w:val="00C33C40"/>
    <w:rsid w:val="00C360B7"/>
    <w:rsid w:val="00C62065"/>
    <w:rsid w:val="00C70313"/>
    <w:rsid w:val="00C7637E"/>
    <w:rsid w:val="00C95C4A"/>
    <w:rsid w:val="00CB4C7D"/>
    <w:rsid w:val="00CC0358"/>
    <w:rsid w:val="00CE20E5"/>
    <w:rsid w:val="00CF665D"/>
    <w:rsid w:val="00D143FA"/>
    <w:rsid w:val="00D306F2"/>
    <w:rsid w:val="00D32393"/>
    <w:rsid w:val="00D401AD"/>
    <w:rsid w:val="00D41E78"/>
    <w:rsid w:val="00D460B1"/>
    <w:rsid w:val="00D60992"/>
    <w:rsid w:val="00D80CA4"/>
    <w:rsid w:val="00D97A62"/>
    <w:rsid w:val="00D97B7D"/>
    <w:rsid w:val="00DB5AB4"/>
    <w:rsid w:val="00DB6D47"/>
    <w:rsid w:val="00DC7B9C"/>
    <w:rsid w:val="00DD474C"/>
    <w:rsid w:val="00DD5714"/>
    <w:rsid w:val="00DD74F0"/>
    <w:rsid w:val="00DE140B"/>
    <w:rsid w:val="00DE3086"/>
    <w:rsid w:val="00DF6023"/>
    <w:rsid w:val="00E135E8"/>
    <w:rsid w:val="00E54B02"/>
    <w:rsid w:val="00E65798"/>
    <w:rsid w:val="00E73202"/>
    <w:rsid w:val="00E85D53"/>
    <w:rsid w:val="00E905F2"/>
    <w:rsid w:val="00E93C4A"/>
    <w:rsid w:val="00EA3DB1"/>
    <w:rsid w:val="00EB71CB"/>
    <w:rsid w:val="00EC03A2"/>
    <w:rsid w:val="00EC2339"/>
    <w:rsid w:val="00EE251B"/>
    <w:rsid w:val="00EF187D"/>
    <w:rsid w:val="00EF3DA6"/>
    <w:rsid w:val="00EF45A7"/>
    <w:rsid w:val="00EF7C27"/>
    <w:rsid w:val="00F02815"/>
    <w:rsid w:val="00F04CDD"/>
    <w:rsid w:val="00F30C2C"/>
    <w:rsid w:val="00F316C6"/>
    <w:rsid w:val="00F4422E"/>
    <w:rsid w:val="00F63507"/>
    <w:rsid w:val="00F753DB"/>
    <w:rsid w:val="00FA2312"/>
    <w:rsid w:val="00FA5C75"/>
    <w:rsid w:val="00FB026E"/>
    <w:rsid w:val="00FB3AD4"/>
    <w:rsid w:val="00FC3E0C"/>
    <w:rsid w:val="00FD34A2"/>
    <w:rsid w:val="00FD4DF0"/>
    <w:rsid w:val="00FE37C5"/>
    <w:rsid w:val="00FE3856"/>
    <w:rsid w:val="00FE3A0A"/>
    <w:rsid w:val="00FE50C0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2B48F"/>
  <w15:docId w15:val="{7DAD8E33-391A-4968-85E7-EDA19C5B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B613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35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86C"/>
    <w:rPr>
      <w:color w:val="0000FF" w:themeColor="hyperlink"/>
      <w:u w:val="single"/>
    </w:rPr>
  </w:style>
  <w:style w:type="character" w:customStyle="1" w:styleId="Bodytext3">
    <w:name w:val="Body text (3)"/>
    <w:basedOn w:val="DefaultParagraphFont"/>
    <w:rsid w:val="009A34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3Italic">
    <w:name w:val="Body text (3) + Italic"/>
    <w:basedOn w:val="DefaultParagraphFont"/>
    <w:rsid w:val="009A34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paragraph" w:customStyle="1" w:styleId="CharChar1Char0">
    <w:name w:val="Char Char1 Char"/>
    <w:basedOn w:val="Normal"/>
    <w:semiHidden/>
    <w:rsid w:val="009A346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customStyle="1" w:styleId="Bodytext5">
    <w:name w:val="Body text (5)_"/>
    <w:basedOn w:val="DefaultParagraphFont"/>
    <w:rsid w:val="00C018B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Italic">
    <w:name w:val="Body text (5) + Italic"/>
    <w:basedOn w:val="Bodytext5"/>
    <w:rsid w:val="00C018B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5Bold">
    <w:name w:val="Body text (5) + Bold"/>
    <w:basedOn w:val="Bodytext5"/>
    <w:rsid w:val="00C018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50">
    <w:name w:val="Body text (5)"/>
    <w:basedOn w:val="Bodytext5"/>
    <w:rsid w:val="00C018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/>
    </w:rPr>
  </w:style>
  <w:style w:type="paragraph" w:customStyle="1" w:styleId="CharChar">
    <w:name w:val="Char Char"/>
    <w:basedOn w:val="Normal"/>
    <w:rsid w:val="00633E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">
    <w:name w:val="Body text_"/>
    <w:basedOn w:val="DefaultParagraphFont"/>
    <w:link w:val="BodyText2"/>
    <w:rsid w:val="005B18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5B18AF"/>
    <w:pPr>
      <w:widowControl w:val="0"/>
      <w:shd w:val="clear" w:color="auto" w:fill="FFFFFF"/>
      <w:spacing w:before="480" w:after="240" w:line="283" w:lineRule="exac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7854F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B62DB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E4626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8A16A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0"/>
    <w:rsid w:val="00C70313"/>
    <w:rPr>
      <w:rFonts w:ascii="Times New Roman" w:eastAsia="Times New Roman" w:hAnsi="Times New Roman" w:cs="Times New Roman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C703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C7031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3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32F"/>
  </w:style>
  <w:style w:type="paragraph" w:customStyle="1" w:styleId="CharChar1Char4">
    <w:name w:val="Char Char1 Char"/>
    <w:basedOn w:val="Normal"/>
    <w:semiHidden/>
    <w:rsid w:val="00687CD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NormalIndent">
    <w:name w:val="Normal Indent"/>
    <w:basedOn w:val="Normal"/>
    <w:uiPriority w:val="99"/>
    <w:semiHidden/>
    <w:unhideWhenUsed/>
    <w:rsid w:val="006D6D76"/>
    <w:pPr>
      <w:ind w:left="720"/>
    </w:pPr>
  </w:style>
  <w:style w:type="paragraph" w:customStyle="1" w:styleId="CharChar1Char5">
    <w:name w:val="Char Char1 Char"/>
    <w:basedOn w:val="Normal"/>
    <w:semiHidden/>
    <w:rsid w:val="006D6D76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320A9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C7637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4B06A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6B34-5B37-4D43-AAD4-4553BFED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Windows User</cp:lastModifiedBy>
  <cp:revision>13</cp:revision>
  <cp:lastPrinted>2020-04-13T07:28:00Z</cp:lastPrinted>
  <dcterms:created xsi:type="dcterms:W3CDTF">2019-07-24T07:00:00Z</dcterms:created>
  <dcterms:modified xsi:type="dcterms:W3CDTF">2020-04-29T14:00:00Z</dcterms:modified>
</cp:coreProperties>
</file>